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Companion Set Scope and Selection Notes</w:t>
      </w:r>
    </w:p>
    <w:p>
      <w:r>
        <w:t>The editable companion set contains consumable student work and teacher-only implementation support. It intentionally does not reproduce explanatory chapters, concrete and pictorial model instruction, central-idea teaching, worked examples, glossary, standards alignment, or index content. This preserves the book as the essential instructional resource.</w:t>
      </w:r>
    </w:p>
    <w:p>
      <w:r>
        <w:t>Student documents exclude answer sections, response guides, teacher actions, and exit-ticket mastery decisions. Matching teacher guides retain these diagnostic elements.</w:t>
      </w:r>
    </w:p>
    <w:p>
      <w:r>
        <w:t>Chapter 6 has no standalone revision, strategy, and transfer packet in the source. Chapter 16 has no standalone Extend Your Thinking section.</w:t>
      </w:r>
    </w:p>
    <w:sectPr w:rsidR="00FC693F" w:rsidRPr="0006063C" w:rsidSect="00034616">
      <w:pgSz w:w="12240" w:h="15840"/>
      <w:pgMar w:top="864" w:right="864" w:bottom="864" w:left="864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Georgia" w:eastAsia="Georgia" w:hAnsi="Georgia" w:cs="Georgia"/>
      <w:b/>
      <w:bCs/>
      <w:color w:val="146B6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Georgia" w:eastAsia="Georgia" w:hAnsi="Georgia" w:cs="Georgia"/>
      <w:b/>
      <w:bCs/>
      <w:color w:val="146B6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Georgia" w:eastAsia="Georgia" w:hAnsi="Georgia" w:cs="Georgia"/>
      <w:b/>
      <w:bCs/>
      <w:color w:val="146B66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Georgia" w:eastAsia="Georgia" w:hAnsi="Georgia" w:cs="Georgia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color w:val="146B66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Georgia" w:eastAsia="Georgia" w:hAnsi="Georgia" w:cs="Georgia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Georgia" w:hAnsi="Georgia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eorg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